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311710F4">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eastAsia" w:ascii="Times New Roman" w:hAnsi="Times New Roman" w:eastAsia="方正小标宋简体" w:cs="Times New Roman"/>
          <w:bCs/>
          <w:color w:val="000000"/>
          <w:spacing w:val="-11"/>
          <w:sz w:val="44"/>
          <w:szCs w:val="44"/>
          <w:highlight w:val="none"/>
          <w:lang w:val="en-US" w:eastAsia="zh-CN"/>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资中县城北片区老旧街区改造工程·老旧房屋修缮工程一期破损外墙修缮工程专业分</w:t>
      </w:r>
      <w:r>
        <w:rPr>
          <w:rFonts w:hint="eastAsia" w:ascii="Times New Roman" w:hAnsi="Times New Roman" w:eastAsia="方正小标宋简体" w:cs="Times New Roman"/>
          <w:bCs/>
          <w:color w:val="000000"/>
          <w:spacing w:val="-11"/>
          <w:sz w:val="44"/>
          <w:szCs w:val="44"/>
          <w:highlight w:val="none"/>
          <w:lang w:val="en-US" w:eastAsia="zh-CN"/>
        </w:rPr>
        <w:t>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招标公告（第三次）</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编号：兴资集团2026—29</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0CA8BD9C">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w:t>
      </w:r>
    </w:p>
    <w:p w14:paraId="296816A6">
      <w:pPr>
        <w:keepNext w:val="0"/>
        <w:keepLines w:val="0"/>
        <w:pageBreakBefore w:val="0"/>
        <w:widowControl w:val="0"/>
        <w:kinsoku/>
        <w:wordWrap/>
        <w:overflowPunct/>
        <w:bidi w:val="0"/>
        <w:adjustRightInd w:val="0"/>
        <w:snapToGrid w:val="0"/>
        <w:spacing w:line="576"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一期。</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重龙镇。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779DF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3A80998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本次实施为商业街区破损外墙修缮专业分包。具体以实际委托内容为准。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招标控制价：本次实施专业分包暂定金额约68万元，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4E443D8E">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具备独立企业法人资格；</w:t>
      </w:r>
      <w:r>
        <w:rPr>
          <w:rFonts w:hint="default" w:ascii="仿宋" w:hAnsi="仿宋" w:eastAsia="仿宋" w:cs="仿宋"/>
          <w:kern w:val="0"/>
          <w:sz w:val="32"/>
          <w:szCs w:val="32"/>
          <w:u w:val="none"/>
          <w:lang w:val="en-US" w:eastAsia="zh-CN" w:bidi="ar"/>
        </w:rPr>
        <w:t>具有建筑幕墙工程专业承包二级及以上资质，具有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安全生产许可证。在经营活动中没有重大违法违规记录。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22D9D092">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项目经理具有二级建造师（专业为建筑工程），具有有效的安全生产考核合格证（B证)。且必须在投标企业注册。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（一）报名时间：投标人需在2026年5月20日上午9：00至2026年5月22日17时00分（北京时间）期间，完成网上报名操作。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（五）开标时间：2026年5月26</w:t>
      </w:r>
      <w:bookmarkStart w:id="2" w:name="_GoBack"/>
      <w:bookmarkEnd w:id="2"/>
      <w:r>
        <w:rPr>
          <w:rFonts w:hint="eastAsia" w:ascii="Times New Roman" w:hAnsi="Times New Roman" w:eastAsia="仿宋_GB2312" w:cs="Times New Roman"/>
          <w:color w:val="000000"/>
          <w:kern w:val="2"/>
          <w:sz w:val="32"/>
          <w:szCs w:val="32"/>
          <w:highlight w:val="none"/>
          <w:lang w:val="en-US" w:eastAsia="zh-CN" w:bidi="ar-SA"/>
        </w:rPr>
        <w:t>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22</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07E787E5">
      <w:pPr>
        <w:jc w:val="right"/>
        <w:rPr>
          <w:rFonts w:hint="eastAsia" w:ascii="Times New Roman" w:hAnsi="宋体" w:eastAsia="仿宋_GB2312" w:cs="宋体"/>
          <w:kern w:val="2"/>
          <w:sz w:val="32"/>
          <w:szCs w:val="24"/>
          <w:lang w:val="en-US" w:eastAsia="zh-CN" w:bidi="zh-CN"/>
        </w:rPr>
      </w:pPr>
      <w:r>
        <w:rPr>
          <w:rFonts w:hint="eastAsia" w:ascii="Times New Roman" w:hAnsi="宋体" w:eastAsia="仿宋_GB2312" w:cs="宋体"/>
          <w:kern w:val="2"/>
          <w:sz w:val="32"/>
          <w:szCs w:val="24"/>
          <w:lang w:val="en-US" w:eastAsia="zh-CN" w:bidi="zh-CN"/>
        </w:rPr>
        <w:t>2026年5月11日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835C3"/>
    <w:rsid w:val="17C67D31"/>
    <w:rsid w:val="196A042F"/>
    <w:rsid w:val="20A67A26"/>
    <w:rsid w:val="333715AE"/>
    <w:rsid w:val="3C9E1F44"/>
    <w:rsid w:val="5BCD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1327</Words>
  <Characters>1496</Characters>
  <Lines>0</Lines>
  <Paragraphs>0</Paragraphs>
  <TotalTime>1</TotalTime>
  <ScaleCrop>false</ScaleCrop>
  <LinksUpToDate>false</LinksUpToDate>
  <CharactersWithSpaces>1500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2026-04-21T03:11:00Z</dcterms:created>
  <dc:creator>Administrator</dc:creator>
  <cp:lastModifiedBy>KB</cp:lastModifiedBy>
  <dcterms:modified xsi:type="dcterms:W3CDTF">2026-05-19T08:05:33Z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5D11D043437845BBBDCDCF327EACCA75_13</vt:lpwstr>
  </property>
</Properties>
</file>