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资中县和平街片区城镇老旧小区配套基础设施改造项目设计施工总承包项目第一阶段专业分包</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2E7425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编号：瑞欣宏2025—022</w:t>
      </w:r>
    </w:p>
    <w:p w14:paraId="34C5E2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资中县和平街片区城镇老旧小区配套基础设施改造项目设计施工总承包项目第一阶段专业分包</w:t>
      </w:r>
      <w:r>
        <w:rPr>
          <w:rFonts w:hint="default" w:ascii="Times New Roman" w:hAnsi="Times New Roman" w:eastAsia="仿宋_GB2312" w:cs="Times New Roman"/>
          <w:color w:val="auto"/>
          <w:kern w:val="2"/>
          <w:sz w:val="24"/>
          <w:szCs w:val="24"/>
          <w:lang w:val="en-US" w:eastAsia="zh-CN" w:bidi="ar-SA"/>
        </w:rPr>
        <w:t>。</w:t>
      </w:r>
    </w:p>
    <w:p w14:paraId="47B60F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eastAsia" w:ascii="Times New Roman" w:hAnsi="Times New Roman" w:eastAsia="仿宋_GB2312" w:cs="Times New Roman"/>
          <w:i w:val="0"/>
          <w:iCs w:val="0"/>
          <w:caps w:val="0"/>
          <w:color w:val="333333"/>
          <w:spacing w:val="0"/>
          <w:sz w:val="32"/>
          <w:szCs w:val="32"/>
          <w:shd w:val="clear" w:fill="FFFFFF"/>
          <w:lang w:val="en-US" w:eastAsia="zh-CN"/>
        </w:rPr>
        <w:t>水南</w:t>
      </w:r>
      <w:r>
        <w:rPr>
          <w:rFonts w:hint="default" w:ascii="Times New Roman" w:hAnsi="Times New Roman" w:eastAsia="仿宋_GB2312" w:cs="Times New Roman"/>
          <w:i w:val="0"/>
          <w:iCs w:val="0"/>
          <w:caps w:val="0"/>
          <w:color w:val="333333"/>
          <w:spacing w:val="0"/>
          <w:sz w:val="32"/>
          <w:szCs w:val="32"/>
          <w:shd w:val="clear" w:fill="FFFFFF"/>
          <w:lang w:val="en-US" w:eastAsia="zh-CN"/>
        </w:rPr>
        <w:t>镇。</w:t>
      </w:r>
    </w:p>
    <w:p w14:paraId="447256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color w:val="auto"/>
          <w:kern w:val="2"/>
          <w:sz w:val="32"/>
          <w:szCs w:val="32"/>
          <w:highlight w:val="none"/>
          <w:lang w:val="en-US" w:eastAsia="zh-CN" w:bidi="ar"/>
        </w:rPr>
        <w:t>对和平街等10个老旧小区进行改造、涉及192栋建筑、4960户居民、总建筑面积35.2万平方米。主要包括：改造老旧小区内道路1.2万平方米、D500排水管网13.2千米、DN50-DN200供水管网12.4千米、绿化2050平方米、消防设施49套、安防设施23套、文体设施76套、社区服务中心210平方米，自行车棚575平方米、停车位320个；改造小区外与城市主干网衔接的道路7.2万平方米；改造屋面防水2.14万平方米等。</w:t>
      </w:r>
      <w:r>
        <w:rPr>
          <w:rFonts w:hint="eastAsia" w:ascii="仿宋_GB2312" w:hAnsi="仿宋_GB2312" w:cs="仿宋_GB2312"/>
          <w:color w:val="auto"/>
          <w:kern w:val="2"/>
          <w:sz w:val="32"/>
          <w:szCs w:val="32"/>
          <w:highlight w:val="none"/>
          <w:lang w:val="en-US" w:eastAsia="zh-CN" w:bidi="ar"/>
        </w:rPr>
        <w:t>本次实施</w:t>
      </w:r>
      <w:r>
        <w:rPr>
          <w:rFonts w:hint="eastAsia" w:ascii="仿宋_GB2312" w:hAnsi="仿宋_GB2312" w:eastAsia="仿宋_GB2312" w:cs="仿宋_GB2312"/>
          <w:color w:val="auto"/>
          <w:kern w:val="2"/>
          <w:sz w:val="32"/>
          <w:szCs w:val="32"/>
          <w:highlight w:val="none"/>
          <w:lang w:val="en-US" w:eastAsia="zh-CN" w:bidi="ar"/>
        </w:rPr>
        <w:t>专业分包</w:t>
      </w:r>
      <w:r>
        <w:rPr>
          <w:rFonts w:hint="default" w:ascii="仿宋_GB2312" w:hAnsi="仿宋_GB2312" w:eastAsia="仿宋_GB2312" w:cs="仿宋_GB2312"/>
          <w:color w:val="auto"/>
          <w:kern w:val="2"/>
          <w:sz w:val="32"/>
          <w:szCs w:val="32"/>
          <w:highlight w:val="none"/>
          <w:lang w:val="en-US" w:eastAsia="zh-CN" w:bidi="ar"/>
        </w:rPr>
        <w:t>划分</w:t>
      </w:r>
      <w:r>
        <w:rPr>
          <w:rFonts w:hint="eastAsia" w:ascii="仿宋_GB2312" w:hAnsi="仿宋_GB2312" w:eastAsia="仿宋_GB2312" w:cs="仿宋_GB2312"/>
          <w:color w:val="auto"/>
          <w:kern w:val="2"/>
          <w:sz w:val="32"/>
          <w:szCs w:val="32"/>
          <w:highlight w:val="none"/>
          <w:lang w:val="en-US" w:eastAsia="zh-CN" w:bidi="ar"/>
        </w:rPr>
        <w:t>2</w:t>
      </w:r>
      <w:r>
        <w:rPr>
          <w:rFonts w:hint="default" w:ascii="仿宋_GB2312" w:hAnsi="仿宋_GB2312" w:eastAsia="仿宋_GB2312" w:cs="仿宋_GB2312"/>
          <w:color w:val="auto"/>
          <w:kern w:val="2"/>
          <w:sz w:val="32"/>
          <w:szCs w:val="32"/>
          <w:highlight w:val="none"/>
          <w:lang w:val="en-US" w:eastAsia="zh-CN" w:bidi="ar"/>
        </w:rPr>
        <w:t>个标段，</w:t>
      </w:r>
      <w:r>
        <w:rPr>
          <w:rFonts w:hint="eastAsia" w:ascii="仿宋_GB2312" w:hAnsi="仿宋_GB2312" w:cs="仿宋_GB2312"/>
          <w:sz w:val="32"/>
          <w:szCs w:val="32"/>
          <w:lang w:val="en-US" w:eastAsia="zh-CN"/>
        </w:rPr>
        <w:t>其中</w:t>
      </w:r>
      <w:r>
        <w:rPr>
          <w:rFonts w:hint="eastAsia" w:ascii="仿宋_GB2312" w:hAnsi="仿宋_GB2312" w:eastAsia="仿宋_GB2312" w:cs="仿宋_GB2312"/>
          <w:sz w:val="32"/>
          <w:szCs w:val="32"/>
          <w:lang w:val="en-US" w:eastAsia="zh-CN"/>
        </w:rPr>
        <w:t>一标段主要实施内容为建兴市场一期、二期原消防管网维修约1500m等。二标段主要实施内容为对养护段小区、608片区、老铁佛-四通小区、人和街小区、人和社区和平街片区、苌弘路小区、花圃街片区、盐业小区等8个片区进行化粪池清掏等</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718D32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3</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专业分包暂定招标控制价总金额为338万元，其中一标段招标控制价暂定为230万元，二标段招标控制价暂定为108万元。其中一标段招标控制价最终以财政投资预算评审金额下浮10%作为招标控制价，分包投标下浮比率为1%-5%，投标下浮比率不得超过分包最高限价的5%；具体以财评工程量为准，以实际发生工程量结算。二标段暂定包干含税单价为150元/m³，价格包含：冲吸、外运、无害化处理及其他等一切内容，清掏数量以实际发生为准，据实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62D5D4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p>
    <w:p w14:paraId="343E77F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仿宋_GB2312" w:hAnsi="仿宋_GB2312" w:eastAsia="仿宋_GB2312" w:cs="仿宋_GB2312"/>
          <w:i w:val="0"/>
          <w:iCs w:val="0"/>
          <w:caps w:val="0"/>
          <w:color w:val="000000"/>
          <w:spacing w:val="0"/>
          <w:sz w:val="32"/>
          <w:szCs w:val="32"/>
          <w:shd w:val="clear" w:color="auto" w:fill="auto"/>
          <w:lang w:val="en-US" w:eastAsia="zh-CN"/>
        </w:rPr>
      </w:pPr>
      <w:r>
        <w:rPr>
          <w:rFonts w:hint="eastAsia" w:ascii="仿宋_GB2312" w:hAnsi="仿宋_GB2312" w:eastAsia="仿宋_GB2312" w:cs="仿宋_GB2312"/>
          <w:i w:val="0"/>
          <w:iCs w:val="0"/>
          <w:caps w:val="0"/>
          <w:color w:val="000000"/>
          <w:spacing w:val="0"/>
          <w:sz w:val="32"/>
          <w:szCs w:val="32"/>
          <w:shd w:val="clear" w:color="auto" w:fill="auto"/>
          <w:lang w:val="en-US" w:eastAsia="zh-CN"/>
        </w:rPr>
        <w:t>一标段：具有独立法人资格，具有建设行政主管部门颁发的消防工程专业承包二级及以上资质，具有有效的安全生产许可证。</w:t>
      </w:r>
    </w:p>
    <w:p w14:paraId="7D021D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color="auto" w:fill="auto"/>
          <w:lang w:val="en-US" w:eastAsia="zh-CN"/>
        </w:rPr>
        <w:t>二标段：具备独立法人资格；具有建设行政主管部门颁发的环保工程专业承包三级及以上资质；具有独立承担民事责任能力。</w:t>
      </w:r>
    </w:p>
    <w:p w14:paraId="2DCC636E">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p>
    <w:p w14:paraId="3F75FFE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一标段：近3年（2022年1月1日至投标截止时间，不少于3年）不少于1个类似项目。类似项目是指：单个合同总投资不低于200万元消防工程类似业绩。</w:t>
      </w:r>
    </w:p>
    <w:p w14:paraId="619633D3">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lang w:val="en-US" w:eastAsia="zh-CN"/>
        </w:rPr>
        <w:t>二标段：无</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3B7BB3F7">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01181A23">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一标段：项目负责人具有注册机电工程专业二级及以上建造师证书，须为本单位人员。</w:t>
      </w:r>
    </w:p>
    <w:p w14:paraId="187AAA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二标段：项目负责人具有注册市政公用工程专业二级及以上建造师证书，须为本单位人员。</w:t>
      </w:r>
    </w:p>
    <w:p w14:paraId="30ED32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1605BE2">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投标最高限价的5%,以银行转账方式全额提交。</w:t>
      </w:r>
    </w:p>
    <w:p w14:paraId="2A2B47C7">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中标公示结束后，中标单位缴纳的意向金自动转为履约保证金。其他投标单位缴纳的意向金在30个工作日内无息退还。</w:t>
      </w:r>
    </w:p>
    <w:p w14:paraId="2578D3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w:t>
      </w:r>
      <w:r>
        <w:rPr>
          <w:rFonts w:hint="eastAsia" w:ascii="Times New Roman" w:hAnsi="Times New Roman"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4</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09</w:t>
      </w:r>
      <w:r>
        <w:rPr>
          <w:rFonts w:hint="default" w:ascii="Times New Roman" w:hAnsi="Times New Roman" w:eastAsia="仿宋_GB2312" w:cs="Times New Roman"/>
          <w:spacing w:val="16"/>
          <w:kern w:val="2"/>
          <w:sz w:val="32"/>
          <w:szCs w:val="32"/>
          <w:lang w:val="en-US" w:eastAsia="zh-CN" w:bidi="ar-SA"/>
        </w:rPr>
        <w:t>时00分至202</w:t>
      </w:r>
      <w:r>
        <w:rPr>
          <w:rFonts w:hint="eastAsia" w:ascii="Times New Roman" w:hAnsi="Times New Roman"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w:t>
      </w:r>
      <w:r>
        <w:rPr>
          <w:rFonts w:hint="eastAsia" w:ascii="Times New Roman" w:hAnsi="Times New Roman"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日上午</w:t>
      </w:r>
      <w:r>
        <w:rPr>
          <w:rFonts w:hint="eastAsia" w:ascii="Times New Roman" w:hAnsi="Times New Roman" w:eastAsia="仿宋_GB2312" w:cs="Times New Roman"/>
          <w:spacing w:val="16"/>
          <w:kern w:val="2"/>
          <w:sz w:val="32"/>
          <w:szCs w:val="32"/>
          <w:lang w:val="en-US" w:eastAsia="zh-CN" w:bidi="ar-SA"/>
        </w:rPr>
        <w:t>10:0</w:t>
      </w:r>
      <w:r>
        <w:rPr>
          <w:rFonts w:hint="default" w:ascii="Times New Roman" w:hAnsi="Times New Roman" w:eastAsia="仿宋_GB2312" w:cs="Times New Roman"/>
          <w:spacing w:val="16"/>
          <w:kern w:val="2"/>
          <w:sz w:val="32"/>
          <w:szCs w:val="32"/>
          <w:lang w:val="en-US" w:eastAsia="zh-CN" w:bidi="ar-SA"/>
        </w:rPr>
        <w:t>0。</w:t>
      </w:r>
    </w:p>
    <w:p w14:paraId="35D1E6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p>
    <w:p w14:paraId="2C2C30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报名费缴纳账户信息：</w:t>
      </w:r>
    </w:p>
    <w:p w14:paraId="6D43D6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（注：投标保证金需在202</w:t>
      </w:r>
      <w:r>
        <w:rPr>
          <w:rFonts w:hint="eastAsia" w:ascii="Times New Roman" w:hAnsi="Times New Roman"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7</w:t>
      </w:r>
      <w:bookmarkStart w:id="0" w:name="_GoBack"/>
      <w:bookmarkEnd w:id="0"/>
      <w:r>
        <w:rPr>
          <w:rFonts w:hint="default" w:ascii="Times New Roman" w:hAnsi="Times New Roman" w:eastAsia="仿宋_GB2312" w:cs="Times New Roman"/>
          <w:spacing w:val="16"/>
          <w:kern w:val="2"/>
          <w:sz w:val="32"/>
          <w:szCs w:val="32"/>
          <w:lang w:val="en-US" w:eastAsia="zh-CN" w:bidi="ar-SA"/>
        </w:rPr>
        <w:t>日17</w:t>
      </w:r>
      <w:r>
        <w:rPr>
          <w:rFonts w:hint="eastAsia" w:ascii="Times New Roman" w:hAnsi="Times New Roman" w:eastAsia="仿宋_GB2312" w:cs="Times New Roman"/>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00以前缴纳至招标人指定账户</w:t>
      </w:r>
      <w:r>
        <w:rPr>
          <w:rFonts w:hint="eastAsia" w:ascii="Times New Roman" w:hAnsi="Times New Roman" w:eastAsia="仿宋_GB2312" w:cs="Times New Roman"/>
          <w:spacing w:val="16"/>
          <w:kern w:val="2"/>
          <w:sz w:val="32"/>
          <w:szCs w:val="32"/>
          <w:lang w:val="en-US" w:eastAsia="zh-CN" w:bidi="ar-SA"/>
        </w:rPr>
        <w:t>）。</w:t>
      </w:r>
    </w:p>
    <w:p w14:paraId="35F417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8"/>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8"/>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31</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C4819"/>
    <w:multiLevelType w:val="singleLevel"/>
    <w:tmpl w:val="88CC481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EA4BBF"/>
    <w:rsid w:val="079E1AE3"/>
    <w:rsid w:val="0E2D33E4"/>
    <w:rsid w:val="0EE9196B"/>
    <w:rsid w:val="12925CAB"/>
    <w:rsid w:val="131D25D7"/>
    <w:rsid w:val="13430886"/>
    <w:rsid w:val="15350FEE"/>
    <w:rsid w:val="15690030"/>
    <w:rsid w:val="1747322C"/>
    <w:rsid w:val="192833BF"/>
    <w:rsid w:val="1D9E3ADC"/>
    <w:rsid w:val="223C50A5"/>
    <w:rsid w:val="287228A3"/>
    <w:rsid w:val="2A037970"/>
    <w:rsid w:val="2B833039"/>
    <w:rsid w:val="2DFF20B6"/>
    <w:rsid w:val="2E5D5FFC"/>
    <w:rsid w:val="2F59432F"/>
    <w:rsid w:val="2FCA0538"/>
    <w:rsid w:val="32F954C0"/>
    <w:rsid w:val="3C2545B2"/>
    <w:rsid w:val="3C851A19"/>
    <w:rsid w:val="43CC0EEC"/>
    <w:rsid w:val="43E1645B"/>
    <w:rsid w:val="4B0F6AC0"/>
    <w:rsid w:val="4B205ACF"/>
    <w:rsid w:val="4BAF65F3"/>
    <w:rsid w:val="51004FF4"/>
    <w:rsid w:val="520106B5"/>
    <w:rsid w:val="55A33C64"/>
    <w:rsid w:val="55B85404"/>
    <w:rsid w:val="55EC1E85"/>
    <w:rsid w:val="58A02683"/>
    <w:rsid w:val="5AF241F0"/>
    <w:rsid w:val="5F122687"/>
    <w:rsid w:val="5F972995"/>
    <w:rsid w:val="60F709C9"/>
    <w:rsid w:val="63D52AF3"/>
    <w:rsid w:val="67DD0A64"/>
    <w:rsid w:val="68670155"/>
    <w:rsid w:val="69485AB1"/>
    <w:rsid w:val="6A596387"/>
    <w:rsid w:val="6C630C68"/>
    <w:rsid w:val="6DD156B9"/>
    <w:rsid w:val="70984874"/>
    <w:rsid w:val="709C35CE"/>
    <w:rsid w:val="71CF69E7"/>
    <w:rsid w:val="74204998"/>
    <w:rsid w:val="75076E5C"/>
    <w:rsid w:val="785570CD"/>
    <w:rsid w:val="797E45C4"/>
    <w:rsid w:val="7BAC3439"/>
    <w:rsid w:val="7BBC5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lang w:val="zh-CN"/>
    </w:rPr>
  </w:style>
  <w:style w:type="paragraph" w:styleId="3">
    <w:name w:val="Body Text Indent"/>
    <w:basedOn w:val="1"/>
    <w:next w:val="4"/>
    <w:qFormat/>
    <w:uiPriority w:val="99"/>
    <w:pPr>
      <w:ind w:firstLine="630"/>
    </w:pPr>
    <w:rPr>
      <w:sz w:val="32"/>
      <w:szCs w:val="32"/>
    </w:rPr>
  </w:style>
  <w:style w:type="paragraph" w:styleId="4">
    <w:name w:val="toc 3"/>
    <w:basedOn w:val="1"/>
    <w:next w:val="1"/>
    <w:semiHidden/>
    <w:qFormat/>
    <w:uiPriority w:val="9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0"/>
    <w:pPr>
      <w:ind w:firstLine="420"/>
    </w:pPr>
  </w:style>
  <w:style w:type="paragraph" w:customStyle="1" w:styleId="11">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9c28d7a3-5f01-4bcd-8a29-aff045c7c3f4</errorID>
      <errorWord>传菜</errorWord>
      <group>L1_Word</group>
      <groupName>字词问题</groupName>
      <ability>L2_Typo</ability>
      <abilityName>字词错误</abilityName>
      <candidateList>
        <item>传统</item>
      </candidateList>
      <explain/>
      <paraID>450CB918</paraID>
      <start>66</start>
      <end>68</end>
      <status>ignored</status>
      <modifiedWord/>
      <trackRevisions>false</trackRevisions>
    </reviewItem>
    <reviewItem>
      <errorID>af4dd84d-3e8e-429d-9c8e-a15729c09f5e</errorID>
      <errorWord>2022年01月01日</errorWord>
      <group>L1_Knowledge</group>
      <groupName>知识性问题</groupName>
      <ability>L2_Time</ability>
      <abilityName>日期时间</abilityName>
      <candidateList>
        <item>2022年1月1日</item>
      </candidateList>
      <explain>根据日常书写习惯，月份和日期一般会省略前导零。</explain>
      <paraID>619633D3</paraID>
      <start>12</start>
      <end>21</end>
      <status>modified</status>
      <modifiedWord>2022年1月1日</modifiedWord>
      <trackRevisions>false</trackRevisions>
    </reviewItem>
    <reviewItem>
      <errorID>842efd06-9075-4e76-96f5-1ce8db0601bc</errorID>
      <errorWord>:</errorWord>
      <group>L1_Format</group>
      <groupName>格式问题</groupName>
      <ability>L2_HalfPunc</ability>
      <abilityName>全半角检查</abilityName>
      <candidateList>
        <item>：</item>
      </candidateList>
      <explain>文本全半角错误。</explain>
      <paraID>619633D3</paraID>
      <start>54</start>
      <end>55</end>
      <status>modified</status>
      <modifiedWord>：</modifiedWord>
      <trackRevisions>false</trackRevisions>
    </reviewItem>
    <reviewItem>
      <errorID>29f73fb7-b56a-41bf-a1f5-a6dabd7600b5</errorID>
      <errorWord>(</errorWord>
      <group>L1_Format</group>
      <groupName>格式问题</groupName>
      <ability>L2_HalfPunc</ability>
      <abilityName>全半角检查</abilityName>
      <candidateList>
        <item>（</item>
      </candidateList>
      <explain>文本全半角错误。</explain>
      <paraID>48EF00A0</paraID>
      <start>27</start>
      <end>28</end>
      <status>modified</status>
      <modifiedWord>（</modifiedWord>
      <trackRevisions>false</trackRevisions>
    </reviewItem>
    <reviewItem>
      <errorID>341b9546-7134-40f0-b209-1fa28956f432</errorID>
      <errorWord>:</errorWord>
      <group>L1_Format</group>
      <groupName>格式问题</groupName>
      <ability>L2_HalfPunc</ability>
      <abilityName>全半角检查</abilityName>
      <candidateList>
        <item>：</item>
      </candidateList>
      <explain>文本全半角错误。</explain>
      <paraID>48EF00A0</paraID>
      <start>30</start>
      <end>31</end>
      <status>modified</status>
      <modifiedWord>：</modifiedWord>
      <trackRevisions>false</trackRevisions>
    </reviewItem>
    <reviewItem>
      <errorID>d6a7e3be-5fcc-49e5-95de-66755ff601de</errorID>
      <errorWord>)</errorWord>
      <group>L1_Format</group>
      <groupName>格式问题</groupName>
      <ability>L2_HalfPunc</ability>
      <abilityName>全半角检查</abilityName>
      <candidateList>
        <item>）</item>
      </candidateList>
      <explain>文本全半角错误。</explain>
      <paraID>48EF00A0</paraID>
      <start>35</start>
      <end>36</end>
      <status>modified</status>
      <modifiedWord>）</modifiedWord>
      <trackRevisions>false</trackRevisions>
    </reviewItem>
    <reviewItem>
      <errorID>5a67ee90-bfe9-4478-9ec5-5081adad04fb</errorID>
      <errorWord>(</errorWord>
      <group>L1_Format</group>
      <groupName>格式问题</groupName>
      <ability>L2_HalfPunc</ability>
      <abilityName>全半角检查</abilityName>
      <candidateList>
        <item>（</item>
      </candidateList>
      <explain>文本全半角错误。</explain>
      <paraID>48EF00A0</paraID>
      <start>69</start>
      <end>70</end>
      <status>modified</status>
      <modifiedWord>（</modifiedWord>
      <trackRevisions>false</trackRevisions>
    </reviewItem>
    <reviewItem>
      <errorID>6cc9409f-fbac-4ea4-be89-78a5af8ef8d3</errorID>
      <errorWord>)</errorWord>
      <group>L1_Format</group>
      <groupName>格式问题</groupName>
      <ability>L2_HalfPunc</ability>
      <abilityName>全半角检查</abilityName>
      <candidateList>
        <item>）</item>
      </candidateList>
      <explain>文本全半角错误。</explain>
      <paraID>48EF00A0</paraID>
      <start>72</start>
      <end>73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7eda75d3-8ac7-424e-8ca9-f8ba89f40d3d}">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1573</Words>
  <Characters>1760</Characters>
  <Lines>0</Lines>
  <Paragraphs>0</Paragraphs>
  <TotalTime>0</TotalTime>
  <ScaleCrop>false</ScaleCrop>
  <LinksUpToDate>false</LinksUpToDate>
  <CharactersWithSpaces>1762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2025-12-31T07:43:27Z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