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6722785">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资中县城南片区老旧街区改造工程—室外道路配套工程电梯专业分包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编号：兴资集团2026—23</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7F056FAA">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宋体" w:hAnsi="宋体" w:eastAsia="宋体" w:cs="Times New Roman"/>
          <w:b/>
          <w:sz w:val="44"/>
          <w:szCs w:val="44"/>
          <w:lang w:val="en-US" w:eastAsia="zh-CN"/>
        </w:rPr>
      </w:pPr>
      <w:r>
        <w:rPr>
          <w:rFonts w:hint="eastAsia" w:ascii="Times New Roman" w:hAnsi="Times New Roman" w:eastAsia="仿宋_GB2312" w:cs="Times New Roman"/>
          <w:sz w:val="32"/>
          <w:szCs w:val="32"/>
          <w:lang w:val="en-US" w:eastAsia="zh-CN"/>
        </w:rPr>
        <w:t>资中县城南片区老旧街区改造工程—室外道路配套工程。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4021A98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39D4AD7B">
      <w:pPr>
        <w:pStyle w:val="6"/>
        <w:keepNext w:val="0"/>
        <w:keepLines w:val="0"/>
        <w:pageBreakBefore w:val="0"/>
        <w:kinsoku/>
        <w:wordWrap/>
        <w:overflowPunct/>
        <w:bidi w:val="0"/>
        <w:spacing w:line="560" w:lineRule="exac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本次实施为资中二中人行天桥电梯专业分包，具体实施内容以实际委托为准。</w:t>
      </w:r>
    </w:p>
    <w:p w14:paraId="347F9CB6">
      <w:pPr>
        <w:pStyle w:val="6"/>
        <w:keepNext w:val="0"/>
        <w:keepLines w:val="0"/>
        <w:pageBreakBefore w:val="0"/>
        <w:kinsoku/>
        <w:wordWrap/>
        <w:overflowPunct/>
        <w:bidi w:val="0"/>
        <w:spacing w:line="560" w:lineRule="exact"/>
        <w:rPr>
          <w:rFonts w:hint="eastAsia" w:ascii="Times New Roman" w:hAnsi="Times New Roman" w:eastAsia="仿宋_GB2312" w:cs="Times New Roman"/>
          <w:color w:val="000000"/>
          <w:kern w:val="2"/>
          <w:sz w:val="32"/>
          <w:szCs w:val="32"/>
          <w:lang w:val="en-US" w:eastAsia="zh-CN" w:bidi="ar"/>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本次施工建设工期为90天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招标控制价：本次实施专业分包暂定金额约200万元，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700D0047">
      <w:pPr>
        <w:numPr>
          <w:ilvl w:val="0"/>
          <w:numId w:val="0"/>
        </w:numPr>
        <w:spacing w:line="58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要求投标人具备独立法人资格；具有行政主管部门颁发的机电安装专业分包资质，</w:t>
      </w:r>
      <w:r>
        <w:rPr>
          <w:rFonts w:hint="eastAsia" w:ascii="仿宋" w:hAnsi="仿宋" w:eastAsia="仿宋" w:cs="仿宋"/>
          <w:kern w:val="0"/>
          <w:sz w:val="32"/>
          <w:szCs w:val="32"/>
          <w:u w:val="none"/>
          <w:lang w:val="zh-CN" w:eastAsia="zh-CN" w:bidi="ar"/>
        </w:rPr>
        <w:t>具</w:t>
      </w:r>
      <w:r>
        <w:rPr>
          <w:rFonts w:hint="eastAsia" w:ascii="仿宋" w:hAnsi="仿宋" w:eastAsia="仿宋" w:cs="仿宋"/>
          <w:kern w:val="0"/>
          <w:sz w:val="32"/>
          <w:szCs w:val="32"/>
          <w:u w:val="none"/>
          <w:lang w:val="en-US" w:eastAsia="zh-CN" w:bidi="ar"/>
        </w:rPr>
        <w:t>有</w:t>
      </w:r>
      <w:r>
        <w:rPr>
          <w:rFonts w:hint="eastAsia" w:ascii="仿宋" w:hAnsi="仿宋" w:eastAsia="仿宋" w:cs="仿宋"/>
          <w:kern w:val="0"/>
          <w:sz w:val="32"/>
          <w:szCs w:val="32"/>
          <w:u w:val="none"/>
          <w:lang w:val="zh-CN" w:eastAsia="zh-CN" w:bidi="ar"/>
        </w:rPr>
        <w:t>有效的安全生产许可证，</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（一）报名时间：投标人需在2026年4月15日上午9：00至2026年4月17日17时00分（北京时间）期间，完成网上报名操作。</w:t>
      </w:r>
    </w:p>
    <w:p w14:paraId="4CD84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（五）开标时间：2026年4月20日上午10：00</w:t>
      </w:r>
    </w:p>
    <w:p w14:paraId="30F6F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rPr>
        <w:t>注：投标诚意金需在2026年4月1</w:t>
      </w:r>
      <w:r>
        <w:rPr>
          <w:rFonts w:hint="eastAsia" w:ascii="宋体" w:hAnsi="宋体" w:eastAsia="宋体" w:cs="宋体"/>
          <w:b/>
          <w:bCs/>
          <w:i w:val="0"/>
          <w:iCs w:val="0"/>
          <w:caps w:val="0"/>
          <w:color w:val="333333"/>
          <w:spacing w:val="0"/>
          <w:sz w:val="32"/>
          <w:szCs w:val="32"/>
          <w:shd w:val="clear" w:fill="FFFFFF"/>
          <w:lang w:val="en-US" w:eastAsia="zh-CN"/>
        </w:rPr>
        <w:t>7</w:t>
      </w:r>
      <w:r>
        <w:rPr>
          <w:rFonts w:hint="eastAsia" w:ascii="宋体" w:hAnsi="宋体" w:eastAsia="宋体" w:cs="宋体"/>
          <w:b/>
          <w:bCs/>
          <w:i w:val="0"/>
          <w:iCs w:val="0"/>
          <w:caps w:val="0"/>
          <w:color w:val="333333"/>
          <w:spacing w:val="0"/>
          <w:sz w:val="32"/>
          <w:szCs w:val="32"/>
          <w:shd w:val="clear" w:fill="FFFFFF"/>
        </w:rPr>
        <w:t>日17：00以前缴纳至招标人指定账户</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6"/>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14</w:t>
      </w:r>
      <w:bookmarkStart w:id="2" w:name="_GoBack"/>
      <w:bookmarkEnd w:id="2"/>
      <w:r>
        <w:rPr>
          <w:rFonts w:hint="eastAsia" w:ascii="Times New Roman" w:hAnsi="宋体" w:cs="宋体"/>
          <w:lang w:val="en-US" w:eastAsia="zh-CN"/>
        </w:rPr>
        <w:t>日</w:t>
      </w:r>
    </w:p>
    <w:p w14:paraId="5ED47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F5851"/>
    <w:rsid w:val="4B6A1871"/>
    <w:rsid w:val="5A59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1324</Words>
  <Characters>1511</Characters>
  <Lines>0</Lines>
  <Paragraphs>0</Paragraphs>
  <TotalTime>4</TotalTime>
  <ScaleCrop>false</ScaleCrop>
  <LinksUpToDate>false</LinksUpToDate>
  <CharactersWithSpaces>1515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2026-04-10T07:07:00Z</dcterms:created>
  <dc:creator>Administrator</dc:creator>
  <cp:lastModifiedBy>KB</cp:lastModifiedBy>
  <dcterms:modified xsi:type="dcterms:W3CDTF">2026-04-14T01:59:35Z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F0F8CC67A2C94D23982B681D8CD097E0_13</vt:lpwstr>
  </property>
</Properties>
</file>