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5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i w:val="0"/>
          <w:iCs w:val="0"/>
          <w:caps w:val="0"/>
          <w:color w:val="333333"/>
          <w:spacing w:val="0"/>
          <w:sz w:val="24"/>
          <w:szCs w:val="24"/>
          <w:highlight w:val="none"/>
          <w:lang w:eastAsia="zh-CN"/>
        </w:rPr>
      </w:pPr>
      <w:r>
        <w:rPr>
          <w:rFonts w:hint="eastAsia" w:ascii="Times New Roman" w:hAnsi="Times New Roman" w:eastAsia="方正小标宋简体" w:cs="Times New Roman"/>
          <w:b w:val="0"/>
          <w:bCs w:val="0"/>
          <w:i w:val="0"/>
          <w:iCs w:val="0"/>
          <w:caps w:val="0"/>
          <w:color w:val="333333"/>
          <w:spacing w:val="-20"/>
          <w:sz w:val="44"/>
          <w:szCs w:val="44"/>
          <w:highlight w:val="none"/>
          <w:shd w:val="clear" w:fill="FFFFFF"/>
          <w:lang w:eastAsia="zh-CN"/>
        </w:rPr>
        <w:t>四川瑞欣宏建设工程有限公司</w:t>
      </w:r>
    </w:p>
    <w:p w14:paraId="28B20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6"/>
          <w:sz w:val="44"/>
          <w:szCs w:val="44"/>
          <w:highlight w:val="none"/>
          <w:shd w:val="clear" w:fill="FFFFFF"/>
          <w:lang w:eastAsia="zh-CN"/>
        </w:rPr>
        <w:t>资中县凤凰片区纺机厂老旧厂区改造工程项目-设计施工总承包项目（配套基础设施一期工程）</w:t>
      </w: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eastAsia="zh-CN"/>
        </w:rPr>
        <w:t>第四阶段机械租赁</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091B59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瑞欣宏2026-008</w:t>
      </w:r>
    </w:p>
    <w:p w14:paraId="65AF07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Times New Roman" w:hAnsi="Times New Roman" w:cs="Times New Roman"/>
          <w:i w:val="0"/>
          <w:iCs w:val="0"/>
          <w:caps w:val="0"/>
          <w:color w:val="333333"/>
          <w:spacing w:val="0"/>
          <w:sz w:val="24"/>
          <w:szCs w:val="24"/>
          <w:highlight w:val="none"/>
        </w:rPr>
      </w:pPr>
    </w:p>
    <w:p w14:paraId="139CA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5A28BA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资中县凤凰片区纺机厂老旧厂区改造工程项目-设计施工总承包项目（配套基础设施一期工程）第四阶段机械租赁。</w:t>
      </w:r>
    </w:p>
    <w:p w14:paraId="160F0C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5BE0C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p>
    <w:p w14:paraId="4C62D1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55CE6B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水南</w:t>
      </w:r>
      <w:r>
        <w:rPr>
          <w:rFonts w:hint="default" w:ascii="Times New Roman" w:hAnsi="Times New Roman" w:eastAsia="仿宋_GB2312" w:cs="Times New Roman"/>
          <w:i w:val="0"/>
          <w:iCs w:val="0"/>
          <w:caps w:val="0"/>
          <w:color w:val="333333"/>
          <w:spacing w:val="0"/>
          <w:sz w:val="32"/>
          <w:szCs w:val="32"/>
          <w:highlight w:val="none"/>
          <w:shd w:val="clear" w:fill="FFFFFF"/>
        </w:rPr>
        <w:t>镇</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14:paraId="3C94F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457B57F9">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住宅总建筑面积24960.8平方米；进行房屋修缮工程24960.80平方米；公共服务设施改造工程3429.19平方米；内部道路硬化37441.00平方米；供排水设施改造22.71公里；停车场改造40000.00平方米（含2000个停车位，配套建设600个充电桩），并配套相关基础设施</w:t>
      </w:r>
      <w:r>
        <w:rPr>
          <w:rFonts w:hint="default" w:ascii="Times New Roman" w:hAnsi="Times New Roman" w:eastAsia="仿宋_GB2312" w:cs="Times New Roman"/>
          <w:color w:val="auto"/>
          <w:kern w:val="2"/>
          <w:sz w:val="32"/>
          <w:szCs w:val="32"/>
          <w:highlight w:val="none"/>
          <w:lang w:val="en-US" w:eastAsia="zh-CN" w:bidi="ar"/>
        </w:rPr>
        <w:t>。</w:t>
      </w:r>
    </w:p>
    <w:p w14:paraId="42D2F93B">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本次主要实施范围及内容为：恒大锦城至水南安置房侧高速沿线，清杂除乱及场地平整、土方挖运、种植土回填约40724.67㎡等。最终以实际发生工程量为准。</w:t>
      </w:r>
    </w:p>
    <w:p w14:paraId="784D4F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598A69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0日历天（因甲方原因超期，不做任何补偿，中标方需全程配合组织力量实施）。</w:t>
      </w:r>
    </w:p>
    <w:p w14:paraId="7F51B6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6F06D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本次实施暂定招标机械租赁含税总价为</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117.1万元，开挖、转运土方（一、二、三、四类表层土、极软岩）招标控制含税单价为7.5元/m³（含内转1公里以内），回填碾压及整形含税单价3.5元/m³（回填碾压不超过50公分一层，碾压需满足规范要求）</w:t>
      </w:r>
      <w:bookmarkStart w:id="0" w:name="_GoBack"/>
      <w:bookmarkEnd w:id="0"/>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。具体以实际工程量*投标单价办理结算。</w:t>
      </w:r>
    </w:p>
    <w:p w14:paraId="7BEEAA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34A6FF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具备独立法人资格，具有民事承担责任能力；在经营活动中没有重大违法违规记录。</w:t>
      </w:r>
    </w:p>
    <w:p w14:paraId="1CF6D7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3D7122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14:paraId="609BC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14:paraId="4BF08CCA">
      <w:pPr>
        <w:pStyle w:val="3"/>
        <w:keepNext w:val="0"/>
        <w:keepLines w:val="0"/>
        <w:pageBreakBefore w:val="0"/>
        <w:widowControl w:val="0"/>
        <w:shd w:val="clear"/>
        <w:kinsoku/>
        <w:wordWrap/>
        <w:overflowPunct/>
        <w:autoSpaceDE/>
        <w:autoSpaceDN/>
        <w:bidi w:val="0"/>
        <w:spacing w:line="580" w:lineRule="exact"/>
        <w:ind w:right="9" w:firstLine="649"/>
        <w:textAlignment w:val="auto"/>
        <w:rPr>
          <w:rFonts w:hint="default" w:ascii="Times New Roman" w:hAnsi="Times New Roman" w:cs="Times New Roman"/>
          <w:highlight w:val="none"/>
        </w:rPr>
      </w:pPr>
      <w:r>
        <w:rPr>
          <w:rFonts w:hint="default" w:ascii="Times New Roman" w:hAnsi="Times New Roman" w:eastAsia="楷体_GB2312" w:cs="Times New Roman"/>
          <w:spacing w:val="0"/>
          <w:kern w:val="2"/>
          <w:sz w:val="32"/>
          <w:szCs w:val="32"/>
          <w:highlight w:val="none"/>
          <w:lang w:val="en-US" w:eastAsia="zh-CN" w:bidi="ar-SA"/>
        </w:rPr>
        <w:t>（一）投标意向金：</w:t>
      </w:r>
      <w:r>
        <w:rPr>
          <w:rFonts w:hint="default" w:ascii="Times New Roman" w:hAnsi="Times New Roman" w:eastAsia="仿宋_GB2312" w:cs="Times New Roman"/>
          <w:color w:val="auto"/>
          <w:kern w:val="2"/>
          <w:sz w:val="32"/>
          <w:szCs w:val="32"/>
          <w:highlight w:val="none"/>
          <w:lang w:val="en-US" w:eastAsia="zh-CN" w:bidi="ar-SA"/>
        </w:rPr>
        <w:t>投标最高限价的5%</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以银行转账方式全额提交。</w:t>
      </w:r>
    </w:p>
    <w:p w14:paraId="4CCFDCC3">
      <w:pPr>
        <w:pStyle w:val="3"/>
        <w:keepNext w:val="0"/>
        <w:keepLines w:val="0"/>
        <w:pageBreakBefore w:val="0"/>
        <w:widowControl w:val="0"/>
        <w:shd w:val="clear"/>
        <w:kinsoku/>
        <w:wordWrap/>
        <w:overflowPunct/>
        <w:autoSpaceDE/>
        <w:autoSpaceDN/>
        <w:bidi w:val="0"/>
        <w:spacing w:line="580" w:lineRule="exact"/>
        <w:ind w:firstLine="649"/>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spacing w:val="0"/>
          <w:kern w:val="2"/>
          <w:sz w:val="32"/>
          <w:szCs w:val="32"/>
          <w:highlight w:val="none"/>
          <w:lang w:val="en-US" w:eastAsia="zh-CN" w:bidi="ar-SA"/>
        </w:rPr>
        <w:t>（二）履约保证金：</w:t>
      </w:r>
      <w:r>
        <w:rPr>
          <w:rFonts w:hint="default" w:ascii="Times New Roman" w:hAnsi="Times New Roman" w:eastAsia="仿宋_GB2312" w:cs="Times New Roman"/>
          <w:color w:val="auto"/>
          <w:kern w:val="2"/>
          <w:sz w:val="32"/>
          <w:szCs w:val="32"/>
          <w:highlight w:val="none"/>
          <w:lang w:val="en-US" w:eastAsia="zh-CN" w:bidi="ar-SA"/>
        </w:rPr>
        <w:t>中标公示结束后，中标单位缴纳的意向金自动转为履约保证金。其他投标单位缴纳的意向金在3</w:t>
      </w:r>
      <w:r>
        <w:rPr>
          <w:rFonts w:hint="eastAsia" w:ascii="Times New Roman" w:hAnsi="Times New Roman"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个工作日内无息退还。</w:t>
      </w:r>
    </w:p>
    <w:p w14:paraId="140AB8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333333"/>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t>其他要求</w:t>
      </w:r>
    </w:p>
    <w:p w14:paraId="4A34F4B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由中标的投标人自行解决扬尘治理喷淋，用电，道路清洗等工作，严格按照资中县相关主管部门规定，落实安全、文明施工相关工作，相关费用包含在投标单价中，招标人不再另行支付。</w:t>
      </w:r>
    </w:p>
    <w:p w14:paraId="6C7667A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14:paraId="7C9C1B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14:paraId="216A12E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14:paraId="06EFC44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14:paraId="05166B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14:paraId="0E4D133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14:paraId="6616DA2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14:paraId="3B658E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10</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p>
    <w:p w14:paraId="6DB509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caps w:val="0"/>
          <w:color w:val="000000"/>
          <w:spacing w:val="0"/>
          <w:sz w:val="32"/>
          <w:szCs w:val="32"/>
          <w:highlight w:val="none"/>
          <w:shd w:val="clear" w:fill="FFFFFF"/>
        </w:rPr>
        <w:t>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14:paraId="0A4035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p>
    <w:p w14:paraId="652FA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i w:val="0"/>
          <w:caps w:val="0"/>
          <w:color w:val="333333"/>
          <w:spacing w:val="0"/>
          <w:sz w:val="21"/>
          <w:szCs w:val="21"/>
          <w:highlight w:val="none"/>
          <w:lang w:eastAsia="zh-CN"/>
        </w:rPr>
      </w:pPr>
      <w:r>
        <w:rPr>
          <w:rFonts w:hint="default" w:ascii="Times New Roman" w:hAnsi="Times New Roman" w:eastAsia="仿宋_GB2312" w:cs="Times New Roman"/>
          <w:i w:val="0"/>
          <w:caps w:val="0"/>
          <w:color w:val="000000"/>
          <w:spacing w:val="0"/>
          <w:sz w:val="32"/>
          <w:szCs w:val="32"/>
          <w:highlight w:val="none"/>
          <w:shd w:val="clear" w:fill="FFFFFF"/>
        </w:rPr>
        <w:t>账号：</w:t>
      </w:r>
      <w:r>
        <w:rPr>
          <w:rFonts w:hint="eastAsia" w:ascii="Times New Roman" w:hAnsi="Times New Roman" w:eastAsia="仿宋_GB2312" w:cs="Times New Roman"/>
          <w:i w:val="0"/>
          <w:caps w:val="0"/>
          <w:color w:val="000000"/>
          <w:spacing w:val="0"/>
          <w:sz w:val="32"/>
          <w:szCs w:val="32"/>
          <w:highlight w:val="none"/>
          <w:shd w:val="clear" w:fill="FFFFFF"/>
          <w:lang w:eastAsia="zh-CN"/>
        </w:rPr>
        <w:t>41240120000067414</w:t>
      </w:r>
    </w:p>
    <w:p w14:paraId="2AEE63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开户行名称：四川资中农村商业银行股份有限公司</w:t>
      </w:r>
    </w:p>
    <w:p w14:paraId="46E49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3月9</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14:paraId="067B05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14:paraId="2A12A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1600" w:firstLineChars="500"/>
        <w:jc w:val="right"/>
        <w:textAlignment w:val="auto"/>
        <w:rPr>
          <w:rFonts w:hint="default" w:ascii="Times New Roman" w:hAnsi="Times New Roman" w:cs="Times New Roman"/>
          <w:i w:val="0"/>
          <w:iCs w:val="0"/>
          <w:caps w:val="0"/>
          <w:color w:val="333333"/>
          <w:spacing w:val="0"/>
          <w:sz w:val="24"/>
          <w:szCs w:val="24"/>
          <w:highlight w:val="none"/>
        </w:rPr>
      </w:pP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p>
    <w:p w14:paraId="6F452306">
      <w:pPr>
        <w:pStyle w:val="7"/>
        <w:keepNext w:val="0"/>
        <w:keepLines w:val="0"/>
        <w:pageBreakBefore w:val="0"/>
        <w:shd w:val="clear"/>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3</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4</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02683"/>
    <w:rsid w:val="012C57B2"/>
    <w:rsid w:val="04A1483C"/>
    <w:rsid w:val="05EA4BBF"/>
    <w:rsid w:val="079E1AE3"/>
    <w:rsid w:val="08F22C15"/>
    <w:rsid w:val="091800E5"/>
    <w:rsid w:val="0E2D33E4"/>
    <w:rsid w:val="1105296A"/>
    <w:rsid w:val="131D25D7"/>
    <w:rsid w:val="1B7F086E"/>
    <w:rsid w:val="1F505806"/>
    <w:rsid w:val="20B57139"/>
    <w:rsid w:val="2229311E"/>
    <w:rsid w:val="223C50A5"/>
    <w:rsid w:val="25210B0F"/>
    <w:rsid w:val="25DF10AE"/>
    <w:rsid w:val="260744D4"/>
    <w:rsid w:val="2709021D"/>
    <w:rsid w:val="287A5928"/>
    <w:rsid w:val="31CE331C"/>
    <w:rsid w:val="384C2862"/>
    <w:rsid w:val="38D834D0"/>
    <w:rsid w:val="3FAF4300"/>
    <w:rsid w:val="3FBC281F"/>
    <w:rsid w:val="41C67B76"/>
    <w:rsid w:val="42D6485A"/>
    <w:rsid w:val="474E4093"/>
    <w:rsid w:val="4B205ACF"/>
    <w:rsid w:val="4BB408A7"/>
    <w:rsid w:val="4C4D2043"/>
    <w:rsid w:val="4D7F4CC8"/>
    <w:rsid w:val="502A424C"/>
    <w:rsid w:val="51004FF4"/>
    <w:rsid w:val="53FE28F0"/>
    <w:rsid w:val="541F427A"/>
    <w:rsid w:val="553C53EB"/>
    <w:rsid w:val="555E39B6"/>
    <w:rsid w:val="559677C4"/>
    <w:rsid w:val="55EF2E09"/>
    <w:rsid w:val="57C90CA0"/>
    <w:rsid w:val="58352086"/>
    <w:rsid w:val="58A02683"/>
    <w:rsid w:val="59864055"/>
    <w:rsid w:val="59BA27B4"/>
    <w:rsid w:val="608B3E43"/>
    <w:rsid w:val="62B81204"/>
    <w:rsid w:val="643A09CC"/>
    <w:rsid w:val="65AC4B11"/>
    <w:rsid w:val="67DD0A64"/>
    <w:rsid w:val="68ED5509"/>
    <w:rsid w:val="6B7632DB"/>
    <w:rsid w:val="6BBE3071"/>
    <w:rsid w:val="6DD156B9"/>
    <w:rsid w:val="6E4606A0"/>
    <w:rsid w:val="6FB17DF6"/>
    <w:rsid w:val="72C10ABF"/>
    <w:rsid w:val="73FA433C"/>
    <w:rsid w:val="74204998"/>
    <w:rsid w:val="7BAC3439"/>
    <w:rsid w:val="7E22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6298ef34-29ae-4524-a083-2f4f6d29248d</errorID>
      <errorWord>。</errorWord>
      <group>L1_Grammar</group>
      <groupName>语法问题</groupName>
      <ability>L2_Order</ability>
      <abilityName>语序不当</abilityName>
      <candidateList>
        <item>采购。</item>
      </candidateList>
      <explain>句子可能没有遵循时空、逻辑顺序，或者介词、关联词等位置不当。</explain>
      <paraID>5A28BA7C</paraID>
      <start>26</start>
      <end>27</end>
      <status>ignored</status>
      <modifiedWord/>
      <trackRevisions>false</trackRevisions>
    </reviewItem>
    <reviewItem>
      <errorID>8c9c649f-9c19-487e-b0d0-17ea885046f0</errorID>
      <errorWord>(</errorWord>
      <group>L1_Format</group>
      <groupName>格式问题</groupName>
      <ability>L2_HalfPunc</ability>
      <abilityName>全半角检查</abilityName>
      <candidateList>
        <item>（</item>
      </candidateList>
      <explain>文本全半角错误。</explain>
      <paraID>6F06D1A1</paraID>
      <start>200</start>
      <end>201</end>
      <status>modified</status>
      <modifiedWord>（</modifiedWord>
      <trackRevisions>false</trackRevisions>
    </reviewItem>
    <reviewItem>
      <errorID>5760e577-cba0-4c22-9f8c-14480ca8a769</errorID>
      <errorWord>)</errorWord>
      <group>L1_Format</group>
      <groupName>格式问题</groupName>
      <ability>L2_HalfPunc</ability>
      <abilityName>全半角检查</abilityName>
      <candidateList>
        <item>）</item>
      </candidateList>
      <explain>文本全半角错误。</explain>
      <paraID>6F06D1A1</paraID>
      <start>230</start>
      <end>231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633848e-1626-44da-bd77-d22422317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1720</Words>
  <Characters>1915</Characters>
  <Lines>0</Lines>
  <Paragraphs>0</Paragraphs>
  <TotalTime>24</TotalTime>
  <ScaleCrop>false</ScaleCrop>
  <LinksUpToDate>false</LinksUpToDate>
  <CharactersWithSpaces>1925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cp:lastPrinted>2025-06-20T06:04:00Z</cp:lastPrinted>
  <dcterms:modified xsi:type="dcterms:W3CDTF">2026-03-04T06:37:37Z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6B867C8D6D0C47ECB1DD6FCD8856ADCC_13</vt:lpwstr>
  </property>
  <property fmtid="{D5CDD505-2E9C-101B-9397-08002B2CF9AE}" pid="4" name="KSOTemplateDocerSaveRecord">
    <vt:lpwstr>eyJoZGlkIjoiZGM3MjI1MWU5OWUwMTg0MzA1MjhkNmZkZTZjMTg2YzQiLCJ1c2VySWQiOiIyNzE5Nzk1ODkifQ==</vt:lpwstr>
  </property>
</Properties>
</file>